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82" w:firstLineChars="150"/>
        <w:jc w:val="left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附件4：院工会委员会委员候选人条件</w:t>
      </w:r>
    </w:p>
    <w:bookmarkEnd w:id="0"/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坚持党的基本路线和教育方针，遵守国家法律法规，能正确处理学校、学院、集体和教职工的利益关系;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具有参与本单位民主管理、民主监督的能力和履行职责的条件，具有较强的组织、管理、协调能力，具有强烈的事业心和责任感；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热爱工会工作，热心公益事业，热情为教职工服务；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有较好的群众基础，有良好的民主作风；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工作年限能够满足一个任期要求。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55EC"/>
    <w:rsid w:val="3282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2020-09-30T09:16:00Z</dcterms:created>
  <dc:creator>1仰起头便成了你</dc:creator>
  <cp:lastModifiedBy>1仰起头便成了你</cp:lastModifiedBy>
  <dcterms:modified xsi:type="dcterms:W3CDTF">2020-09-30T09:16:10Z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