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施逸帆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国贸与国创本科生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施逸帆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公示联系人：邱建国，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施逸帆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经济学院国贸与国创本科生党支部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2001.04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2022年6月10日，国贸本科生党支部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姓名：邱建国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265ABF"/>
    <w:rsid w:val="19687E48"/>
    <w:rsid w:val="1D4D4AF7"/>
    <w:rsid w:val="21AC165F"/>
    <w:rsid w:val="248A05F5"/>
    <w:rsid w:val="277E1F34"/>
    <w:rsid w:val="2E7C6418"/>
    <w:rsid w:val="378A005C"/>
    <w:rsid w:val="3D1B504E"/>
    <w:rsid w:val="46843C64"/>
    <w:rsid w:val="4A792854"/>
    <w:rsid w:val="54CD777A"/>
    <w:rsid w:val="585B7A46"/>
    <w:rsid w:val="58ED477B"/>
    <w:rsid w:val="5AF0321E"/>
    <w:rsid w:val="5C570FCB"/>
    <w:rsid w:val="5EFC2B18"/>
    <w:rsid w:val="61CB4DFE"/>
    <w:rsid w:val="68BE21CA"/>
    <w:rsid w:val="68E76C85"/>
    <w:rsid w:val="6A2151A2"/>
    <w:rsid w:val="6A8D0A8A"/>
    <w:rsid w:val="6BA3642F"/>
    <w:rsid w:val="6BD42CB4"/>
    <w:rsid w:val="72ED3283"/>
    <w:rsid w:val="730E79E4"/>
    <w:rsid w:val="741A547B"/>
    <w:rsid w:val="774B5945"/>
    <w:rsid w:val="7D751F18"/>
    <w:rsid w:val="7E0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7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2024-03-03T15:25:03Z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5E2C589DD9AF48ABBA68D846A5BE99EA_13</vt:lpwstr>
  </property>
</Properties>
</file>