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CD" w:rsidRDefault="00F525CD" w:rsidP="00376155">
      <w:pPr>
        <w:spacing w:beforeLines="50" w:afterLines="50"/>
        <w:ind w:leftChars="-135" w:left="-2" w:rightChars="-297" w:right="-624" w:hangingChars="50" w:hanging="281"/>
        <w:jc w:val="center"/>
        <w:rPr>
          <w:b/>
          <w:bCs/>
          <w:color w:val="FF0000"/>
          <w:sz w:val="56"/>
          <w:szCs w:val="56"/>
        </w:rPr>
      </w:pPr>
      <w:bookmarkStart w:id="0" w:name="_Toc461451115"/>
      <w:r>
        <w:rPr>
          <w:b/>
          <w:bCs/>
          <w:color w:val="FF0000"/>
          <w:sz w:val="56"/>
          <w:szCs w:val="56"/>
        </w:rPr>
        <w:t>浙江</w:t>
      </w:r>
      <w:r>
        <w:rPr>
          <w:rFonts w:hint="eastAsia"/>
          <w:b/>
          <w:bCs/>
          <w:color w:val="FF0000"/>
          <w:sz w:val="56"/>
          <w:szCs w:val="56"/>
        </w:rPr>
        <w:t>工商大学现代商贸研究中心文件</w:t>
      </w:r>
    </w:p>
    <w:p w:rsidR="00F525CD" w:rsidRDefault="00F525CD" w:rsidP="00376155">
      <w:pPr>
        <w:spacing w:beforeLines="50" w:afterLines="50"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[2017]4号</w:t>
      </w:r>
    </w:p>
    <w:p w:rsidR="00F525CD" w:rsidRDefault="00534A4A" w:rsidP="00F525CD">
      <w:pPr>
        <w:spacing w:line="360" w:lineRule="exact"/>
        <w:rPr>
          <w:rFonts w:ascii="仿宋_GB2312" w:eastAsia="仿宋_GB2312"/>
          <w:sz w:val="32"/>
          <w:szCs w:val="32"/>
        </w:rPr>
      </w:pPr>
      <w:r w:rsidRPr="00534A4A">
        <w:rPr>
          <w:rFonts w:ascii="Calibri"/>
          <w:szCs w:val="22"/>
        </w:rPr>
        <w:pict>
          <v:line id="Line 32" o:spid="_x0000_s1029" style="position:absolute;left:0;text-align:left;z-index:251663360" from="-10.65pt,2.25pt" to="440.85pt,2.3pt" strokecolor="red" strokeweight="2.25pt">
            <w10:wrap type="square"/>
          </v:line>
        </w:pict>
      </w:r>
    </w:p>
    <w:p w:rsidR="00415564" w:rsidRPr="00F525CD" w:rsidRDefault="00BC7BEC" w:rsidP="00EE0D7D">
      <w:pPr>
        <w:pStyle w:val="1"/>
        <w:spacing w:before="0" w:after="0" w:line="520" w:lineRule="exact"/>
        <w:rPr>
          <w:rFonts w:ascii="黑体" w:eastAsia="黑体" w:hAnsi="黑体"/>
          <w:sz w:val="32"/>
          <w:szCs w:val="32"/>
        </w:rPr>
      </w:pPr>
      <w:r w:rsidRPr="00F525CD">
        <w:rPr>
          <w:rFonts w:ascii="黑体" w:eastAsia="黑体" w:hAnsi="黑体" w:hint="eastAsia"/>
          <w:sz w:val="32"/>
          <w:szCs w:val="32"/>
        </w:rPr>
        <w:t>浙江工商大学</w:t>
      </w:r>
      <w:r w:rsidR="00EE0D7D" w:rsidRPr="00F525CD">
        <w:rPr>
          <w:rFonts w:ascii="黑体" w:eastAsia="黑体" w:hAnsi="黑体" w:hint="eastAsia"/>
          <w:sz w:val="32"/>
          <w:szCs w:val="32"/>
        </w:rPr>
        <w:t>现代商贸研究中心科研成果</w:t>
      </w:r>
      <w:r w:rsidR="00153DBE" w:rsidRPr="00F525CD">
        <w:rPr>
          <w:rFonts w:ascii="黑体" w:eastAsia="黑体" w:hAnsi="黑体" w:hint="eastAsia"/>
          <w:sz w:val="32"/>
          <w:szCs w:val="32"/>
        </w:rPr>
        <w:t>认定</w:t>
      </w:r>
    </w:p>
    <w:p w:rsidR="00EE0D7D" w:rsidRPr="00F525CD" w:rsidRDefault="00153DBE" w:rsidP="00EE0D7D">
      <w:pPr>
        <w:pStyle w:val="1"/>
        <w:spacing w:before="0" w:after="0" w:line="520" w:lineRule="exact"/>
        <w:rPr>
          <w:rFonts w:ascii="黑体" w:eastAsia="黑体" w:hAnsi="黑体"/>
          <w:sz w:val="32"/>
          <w:szCs w:val="32"/>
        </w:rPr>
      </w:pPr>
      <w:r w:rsidRPr="00F525CD">
        <w:rPr>
          <w:rFonts w:ascii="黑体" w:eastAsia="黑体" w:hAnsi="黑体" w:hint="eastAsia"/>
          <w:sz w:val="32"/>
          <w:szCs w:val="32"/>
        </w:rPr>
        <w:t>与</w:t>
      </w:r>
      <w:r w:rsidR="00EE0D7D" w:rsidRPr="00F525CD">
        <w:rPr>
          <w:rFonts w:ascii="黑体" w:eastAsia="黑体" w:hAnsi="黑体" w:hint="eastAsia"/>
          <w:sz w:val="32"/>
          <w:szCs w:val="32"/>
        </w:rPr>
        <w:t>配套奖励暂行办法</w:t>
      </w:r>
      <w:bookmarkEnd w:id="0"/>
    </w:p>
    <w:p w:rsidR="00EE0D7D" w:rsidRPr="00A70924" w:rsidRDefault="00EE0D7D" w:rsidP="00EE0D7D">
      <w:pPr>
        <w:widowControl/>
        <w:adjustRightInd w:val="0"/>
        <w:snapToGrid w:val="0"/>
        <w:spacing w:line="480" w:lineRule="exact"/>
        <w:ind w:firstLineChars="1100" w:firstLine="3313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第一章  总  则</w:t>
      </w:r>
    </w:p>
    <w:p w:rsidR="00EE0D7D" w:rsidRPr="00A70924" w:rsidRDefault="00EE0D7D" w:rsidP="00EE0D7D">
      <w:pPr>
        <w:widowControl/>
        <w:adjustRightInd w:val="0"/>
        <w:snapToGrid w:val="0"/>
        <w:spacing w:line="460" w:lineRule="exact"/>
        <w:ind w:firstLineChars="221" w:firstLine="61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第一条  为进一步贯彻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《教育部 财政部关于实施高等学校创新能力提升计划的意见》（教技〔2012〕6号）的精神和要求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,充分调动广大教师、科研人员科研工作的主动性和积极性，奖励科研创新成果，不断提高中心科学研究水平，增强科研资政和科研服务能力，特制定本办法。</w:t>
      </w:r>
    </w:p>
    <w:p w:rsidR="007B688C" w:rsidRDefault="00EE0D7D" w:rsidP="007B688C">
      <w:pPr>
        <w:widowControl/>
        <w:adjustRightInd w:val="0"/>
        <w:snapToGrid w:val="0"/>
        <w:spacing w:line="460" w:lineRule="exact"/>
        <w:ind w:firstLineChars="221" w:firstLine="61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第二条  本办法奖励的科研成果须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署名“</w:t>
      </w:r>
      <w:r w:rsidR="00F14679">
        <w:rPr>
          <w:rFonts w:ascii="仿宋" w:eastAsia="仿宋" w:hAnsi="仿宋" w:cs="宋体" w:hint="eastAsia"/>
          <w:kern w:val="0"/>
          <w:sz w:val="28"/>
          <w:szCs w:val="28"/>
        </w:rPr>
        <w:t>高校人文社科重点研究基地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浙江工商大学现代商贸研究中心”为第一完成单位</w:t>
      </w:r>
      <w:r w:rsidR="007B688C">
        <w:rPr>
          <w:rFonts w:ascii="仿宋" w:eastAsia="仿宋" w:hAnsi="仿宋" w:cs="宋体" w:hint="eastAsia"/>
          <w:kern w:val="0"/>
          <w:sz w:val="28"/>
          <w:szCs w:val="28"/>
        </w:rPr>
        <w:t>；或者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标注</w:t>
      </w:r>
      <w:r w:rsidR="00B70C50" w:rsidRPr="007B688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B70C50" w:rsidRPr="007B688C">
        <w:rPr>
          <w:rFonts w:ascii="仿宋" w:eastAsia="仿宋" w:hAnsi="仿宋" w:cs="宋体" w:hint="eastAsia"/>
          <w:kern w:val="0"/>
          <w:sz w:val="28"/>
          <w:szCs w:val="28"/>
        </w:rPr>
        <w:t>受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‘教育部</w:t>
      </w:r>
      <w:r w:rsidR="00F14679">
        <w:rPr>
          <w:rFonts w:ascii="仿宋" w:eastAsia="仿宋" w:hAnsi="仿宋" w:cs="宋体" w:hint="eastAsia"/>
          <w:kern w:val="0"/>
          <w:sz w:val="28"/>
          <w:szCs w:val="28"/>
        </w:rPr>
        <w:t>高校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人文社科重点研究基地浙江工商大学现代商贸研究中心’和‘浙江工商大学现代商贸流通体系建设协同创新中心’</w:t>
      </w:r>
      <w:r w:rsidR="00B70C50" w:rsidRPr="007B688C">
        <w:rPr>
          <w:rFonts w:ascii="仿宋" w:eastAsia="仿宋" w:hAnsi="仿宋" w:cs="宋体" w:hint="eastAsia"/>
          <w:kern w:val="0"/>
          <w:sz w:val="28"/>
          <w:szCs w:val="28"/>
        </w:rPr>
        <w:t>资助</w:t>
      </w:r>
      <w:r w:rsidR="007B688C" w:rsidRPr="007B688C">
        <w:rPr>
          <w:rFonts w:ascii="仿宋" w:eastAsia="仿宋" w:hAnsi="仿宋" w:cs="宋体" w:hint="eastAsia"/>
          <w:kern w:val="0"/>
          <w:sz w:val="28"/>
          <w:szCs w:val="28"/>
        </w:rPr>
        <w:t>”字样</w:t>
      </w:r>
      <w:r w:rsidR="007B688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1275D" w:rsidRDefault="00EE0D7D" w:rsidP="00EE0D7D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第三条  本办法适用与商贸流通有关的科研成果。奖励范围包括</w:t>
      </w:r>
      <w:r w:rsidR="002127EA">
        <w:rPr>
          <w:rFonts w:ascii="仿宋" w:eastAsia="仿宋" w:hAnsi="仿宋" w:cs="宋体" w:hint="eastAsia"/>
          <w:kern w:val="0"/>
          <w:sz w:val="28"/>
          <w:szCs w:val="28"/>
        </w:rPr>
        <w:t>专著、论文、</w:t>
      </w:r>
      <w:r w:rsidR="00E1275D">
        <w:rPr>
          <w:rFonts w:ascii="仿宋" w:eastAsia="仿宋" w:hAnsi="仿宋" w:cs="宋体" w:hint="eastAsia"/>
          <w:kern w:val="0"/>
          <w:sz w:val="28"/>
          <w:szCs w:val="28"/>
        </w:rPr>
        <w:t>获奖、</w:t>
      </w:r>
      <w:r w:rsidR="002127EA">
        <w:rPr>
          <w:rFonts w:ascii="仿宋" w:eastAsia="仿宋" w:hAnsi="仿宋" w:cs="宋体" w:hint="eastAsia"/>
          <w:kern w:val="0"/>
          <w:sz w:val="28"/>
          <w:szCs w:val="28"/>
        </w:rPr>
        <w:t>知识产权、</w:t>
      </w:r>
      <w:r w:rsidR="0030409A">
        <w:rPr>
          <w:rFonts w:ascii="仿宋" w:eastAsia="仿宋" w:hAnsi="仿宋" w:cs="宋体" w:hint="eastAsia"/>
          <w:kern w:val="0"/>
          <w:sz w:val="28"/>
          <w:szCs w:val="28"/>
        </w:rPr>
        <w:t>采纳批示</w:t>
      </w:r>
      <w:r w:rsidR="00E1275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1275D" w:rsidRPr="00E1275D" w:rsidRDefault="00E1275D" w:rsidP="00EE0D7D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第四条  本办法适用全校</w:t>
      </w:r>
      <w:r w:rsidR="00546916">
        <w:rPr>
          <w:rFonts w:ascii="仿宋" w:eastAsia="仿宋" w:hAnsi="仿宋" w:cs="宋体" w:hint="eastAsia"/>
          <w:kern w:val="0"/>
          <w:sz w:val="28"/>
          <w:szCs w:val="28"/>
        </w:rPr>
        <w:t>教师、</w:t>
      </w:r>
      <w:r w:rsidR="00B70C50">
        <w:rPr>
          <w:rFonts w:ascii="仿宋" w:eastAsia="仿宋" w:hAnsi="仿宋" w:cs="宋体" w:hint="eastAsia"/>
          <w:kern w:val="0"/>
          <w:sz w:val="28"/>
          <w:szCs w:val="28"/>
        </w:rPr>
        <w:t>协同创新单位</w:t>
      </w:r>
      <w:r w:rsidR="00546916">
        <w:rPr>
          <w:rFonts w:ascii="仿宋" w:eastAsia="仿宋" w:hAnsi="仿宋" w:cs="宋体" w:hint="eastAsia"/>
          <w:kern w:val="0"/>
          <w:sz w:val="28"/>
          <w:szCs w:val="28"/>
        </w:rPr>
        <w:t>科研人员</w:t>
      </w:r>
      <w:r w:rsidR="00B70C50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546916">
        <w:rPr>
          <w:rFonts w:ascii="仿宋" w:eastAsia="仿宋" w:hAnsi="仿宋" w:cs="宋体" w:hint="eastAsia"/>
          <w:kern w:val="0"/>
          <w:sz w:val="28"/>
          <w:szCs w:val="28"/>
        </w:rPr>
        <w:t>其中，对于在中心承担的课题项目要求的科研成果，不适用本办法；中心专职研究人员本职岗位要求的工作量及相应科研成果，不适用本办法。</w:t>
      </w:r>
    </w:p>
    <w:p w:rsidR="00EE0D7D" w:rsidRDefault="00EE0D7D" w:rsidP="00EE0D7D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 xml:space="preserve">第五条  </w:t>
      </w:r>
      <w:r w:rsidR="00E95F6E">
        <w:rPr>
          <w:rFonts w:ascii="仿宋" w:eastAsia="仿宋" w:hAnsi="仿宋" w:cs="宋体" w:hint="eastAsia"/>
          <w:kern w:val="0"/>
          <w:sz w:val="28"/>
          <w:szCs w:val="28"/>
        </w:rPr>
        <w:t>中心认定的科研成果，</w:t>
      </w:r>
      <w:r w:rsidR="00153DBE">
        <w:rPr>
          <w:rFonts w:ascii="仿宋" w:eastAsia="仿宋" w:hAnsi="仿宋" w:cs="宋体" w:hint="eastAsia"/>
          <w:kern w:val="0"/>
          <w:sz w:val="28"/>
          <w:szCs w:val="28"/>
        </w:rPr>
        <w:t>奖励经费由中心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审核，直接奖励给完成人。</w:t>
      </w:r>
    </w:p>
    <w:p w:rsidR="00EE0D7D" w:rsidRPr="00F525CD" w:rsidRDefault="00EE0D7D" w:rsidP="00EE0D7D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F525CD"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第二章  </w:t>
      </w:r>
      <w:r w:rsidR="004B3D1F" w:rsidRPr="00F525CD">
        <w:rPr>
          <w:rFonts w:ascii="黑体" w:eastAsia="黑体" w:hAnsi="黑体" w:hint="eastAsia"/>
          <w:b/>
          <w:sz w:val="30"/>
          <w:szCs w:val="30"/>
        </w:rPr>
        <w:t>著作</w:t>
      </w:r>
      <w:r w:rsidR="00AE606B" w:rsidRPr="00F525CD">
        <w:rPr>
          <w:rFonts w:ascii="黑体" w:eastAsia="黑体" w:hAnsi="黑体" w:hint="eastAsia"/>
          <w:b/>
          <w:sz w:val="30"/>
          <w:szCs w:val="30"/>
        </w:rPr>
        <w:t>认定</w:t>
      </w:r>
      <w:r w:rsidR="00446D98" w:rsidRPr="00F525CD">
        <w:rPr>
          <w:rFonts w:ascii="黑体" w:eastAsia="黑体" w:hAnsi="黑体" w:hint="eastAsia"/>
          <w:b/>
          <w:sz w:val="30"/>
          <w:szCs w:val="30"/>
        </w:rPr>
        <w:t>、奖励范围与标准</w:t>
      </w:r>
    </w:p>
    <w:p w:rsidR="00EB1450" w:rsidRDefault="00B547D8" w:rsidP="00B547D8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第六条  </w:t>
      </w:r>
      <w:r w:rsidR="004B3D1F">
        <w:rPr>
          <w:rFonts w:ascii="仿宋" w:eastAsia="仿宋" w:hAnsi="仿宋" w:cs="宋体" w:hint="eastAsia"/>
          <w:kern w:val="0"/>
          <w:sz w:val="28"/>
          <w:szCs w:val="28"/>
        </w:rPr>
        <w:t>著作</w:t>
      </w:r>
      <w:r>
        <w:rPr>
          <w:rFonts w:ascii="仿宋" w:eastAsia="仿宋" w:hAnsi="仿宋" w:cs="宋体" w:hint="eastAsia"/>
          <w:kern w:val="0"/>
          <w:sz w:val="28"/>
          <w:szCs w:val="28"/>
        </w:rPr>
        <w:t>的认定。</w:t>
      </w:r>
      <w:r w:rsidR="006172B5">
        <w:rPr>
          <w:rFonts w:ascii="仿宋" w:eastAsia="仿宋" w:hAnsi="仿宋" w:cs="宋体" w:hint="eastAsia"/>
          <w:kern w:val="0"/>
          <w:sz w:val="28"/>
          <w:szCs w:val="28"/>
        </w:rPr>
        <w:t>以教育部</w:t>
      </w:r>
      <w:r w:rsidR="00EB1450" w:rsidRPr="00B17A48">
        <w:rPr>
          <w:rFonts w:ascii="仿宋" w:eastAsia="仿宋" w:hAnsi="仿宋" w:cs="宋体" w:hint="eastAsia"/>
          <w:kern w:val="0"/>
          <w:sz w:val="28"/>
          <w:szCs w:val="28"/>
        </w:rPr>
        <w:t>高校人文社会科学重点研究基地——浙江工商大学现代商贸研究中心为第一作者单位发表的</w:t>
      </w:r>
      <w:r w:rsidR="00446D98">
        <w:rPr>
          <w:rFonts w:ascii="仿宋" w:eastAsia="仿宋" w:hAnsi="仿宋" w:cs="宋体" w:hint="eastAsia"/>
          <w:kern w:val="0"/>
          <w:sz w:val="28"/>
          <w:szCs w:val="28"/>
        </w:rPr>
        <w:t>与商贸流通有关的</w:t>
      </w:r>
      <w:r w:rsidR="004B3D1F" w:rsidRPr="005A0B38">
        <w:rPr>
          <w:rFonts w:ascii="仿宋" w:eastAsia="仿宋" w:hAnsi="仿宋" w:cs="宋体" w:hint="eastAsia"/>
          <w:kern w:val="0"/>
          <w:sz w:val="28"/>
          <w:szCs w:val="28"/>
        </w:rPr>
        <w:t>研究性专著、国家级普通高等教育精品、规划教材、浙</w:t>
      </w:r>
      <w:r w:rsidR="004B3D1F" w:rsidRPr="005A0B3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江省重点教材</w:t>
      </w:r>
      <w:r w:rsidR="00446D9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B1450" w:rsidRDefault="00446D98" w:rsidP="00B547D8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第七条  奖励范围与标准。</w:t>
      </w:r>
    </w:p>
    <w:p w:rsidR="00B70C50" w:rsidRDefault="00B70C50" w:rsidP="00B70C50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（一）被学校认定为高层次科研成果的专著，中心按1:0.2予以奖励。</w:t>
      </w:r>
    </w:p>
    <w:p w:rsidR="00CA7969" w:rsidRPr="005A0B38" w:rsidRDefault="00B70C50" w:rsidP="00B547D8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</w:t>
      </w:r>
      <w:r w:rsidR="00CA7969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5A0B38">
        <w:rPr>
          <w:rFonts w:ascii="仿宋" w:eastAsia="仿宋" w:hAnsi="仿宋" w:cs="宋体" w:hint="eastAsia"/>
          <w:kern w:val="0"/>
          <w:sz w:val="28"/>
          <w:szCs w:val="28"/>
        </w:rPr>
        <w:t>经中心学术委员会评审，按中心当年出版专著总数不多于30%的比例，作为中心高层次专著，</w:t>
      </w:r>
      <w:r w:rsidR="00CA7969" w:rsidRPr="005A0B38">
        <w:rPr>
          <w:rFonts w:ascii="仿宋" w:eastAsia="仿宋" w:hAnsi="仿宋" w:cs="宋体" w:hint="eastAsia"/>
          <w:kern w:val="0"/>
          <w:sz w:val="28"/>
          <w:szCs w:val="28"/>
        </w:rPr>
        <w:t>奖励标准为每本专著</w:t>
      </w:r>
      <w:r w:rsidRPr="005A0B38">
        <w:rPr>
          <w:rFonts w:ascii="仿宋" w:eastAsia="仿宋" w:hAnsi="仿宋" w:cs="宋体" w:hint="eastAsia"/>
          <w:kern w:val="0"/>
          <w:sz w:val="28"/>
          <w:szCs w:val="28"/>
        </w:rPr>
        <w:t>0.3万元（不含出版费）。</w:t>
      </w:r>
    </w:p>
    <w:p w:rsidR="00CA7969" w:rsidRDefault="00CA7969" w:rsidP="00CA7969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三</w:t>
      </w: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章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论文</w:t>
      </w:r>
      <w:r w:rsidRPr="00F525CD">
        <w:rPr>
          <w:rFonts w:ascii="黑体" w:eastAsia="黑体" w:hAnsi="黑体" w:cs="宋体" w:hint="eastAsia"/>
          <w:b/>
          <w:kern w:val="0"/>
          <w:sz w:val="30"/>
          <w:szCs w:val="30"/>
        </w:rPr>
        <w:t>认定、奖励范围与标准</w:t>
      </w:r>
    </w:p>
    <w:p w:rsidR="00CA7969" w:rsidRDefault="00CA7969" w:rsidP="00CA7969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第八条  论文的认定。</w:t>
      </w:r>
      <w:r w:rsidRPr="00B17A48">
        <w:rPr>
          <w:rFonts w:ascii="仿宋" w:eastAsia="仿宋" w:hAnsi="仿宋" w:cs="宋体" w:hint="eastAsia"/>
          <w:kern w:val="0"/>
          <w:sz w:val="28"/>
          <w:szCs w:val="28"/>
        </w:rPr>
        <w:t>以教育部省属高校人文社会科学重点研究基地——浙江工商大学现代商贸研究中心为第一作者单位发表的</w:t>
      </w:r>
      <w:r w:rsidRPr="00A811F0">
        <w:rPr>
          <w:rFonts w:ascii="仿宋" w:eastAsia="仿宋" w:hAnsi="仿宋" w:cs="宋体" w:hint="eastAsia"/>
          <w:kern w:val="0"/>
          <w:sz w:val="28"/>
          <w:szCs w:val="28"/>
        </w:rPr>
        <w:t>中外文与商贸</w:t>
      </w:r>
      <w:r>
        <w:rPr>
          <w:rFonts w:ascii="仿宋" w:eastAsia="仿宋" w:hAnsi="仿宋" w:cs="宋体" w:hint="eastAsia"/>
          <w:kern w:val="0"/>
          <w:sz w:val="28"/>
          <w:szCs w:val="28"/>
        </w:rPr>
        <w:t>流通</w:t>
      </w:r>
      <w:r w:rsidRPr="00A811F0">
        <w:rPr>
          <w:rFonts w:ascii="仿宋" w:eastAsia="仿宋" w:hAnsi="仿宋" w:cs="宋体" w:hint="eastAsia"/>
          <w:kern w:val="0"/>
          <w:sz w:val="28"/>
          <w:szCs w:val="28"/>
        </w:rPr>
        <w:t>有关的学术论文</w:t>
      </w:r>
      <w:r w:rsidR="00B70C50">
        <w:rPr>
          <w:rFonts w:ascii="仿宋" w:eastAsia="仿宋" w:hAnsi="仿宋" w:cs="宋体" w:hint="eastAsia"/>
          <w:kern w:val="0"/>
          <w:sz w:val="28"/>
          <w:szCs w:val="28"/>
        </w:rPr>
        <w:t>。期刊级别</w:t>
      </w:r>
      <w:r w:rsidRPr="00A811F0">
        <w:rPr>
          <w:rFonts w:ascii="仿宋" w:eastAsia="仿宋" w:hAnsi="仿宋" w:cs="宋体" w:hint="eastAsia"/>
          <w:kern w:val="0"/>
          <w:sz w:val="28"/>
          <w:szCs w:val="28"/>
        </w:rPr>
        <w:t>以学校科技处</w:t>
      </w:r>
      <w:r w:rsidR="00B70C50">
        <w:rPr>
          <w:rFonts w:ascii="仿宋" w:eastAsia="仿宋" w:hAnsi="仿宋" w:cs="宋体" w:hint="eastAsia"/>
          <w:kern w:val="0"/>
          <w:sz w:val="28"/>
          <w:szCs w:val="28"/>
        </w:rPr>
        <w:t>最新</w:t>
      </w:r>
      <w:r w:rsidRPr="00A811F0">
        <w:rPr>
          <w:rFonts w:ascii="仿宋" w:eastAsia="仿宋" w:hAnsi="仿宋" w:cs="宋体" w:hint="eastAsia"/>
          <w:kern w:val="0"/>
          <w:sz w:val="28"/>
          <w:szCs w:val="28"/>
        </w:rPr>
        <w:t>的认定标准为准。</w:t>
      </w:r>
    </w:p>
    <w:p w:rsidR="00CA7969" w:rsidRDefault="00CA7969" w:rsidP="00CA7969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第九条  奖励范围与标准。</w:t>
      </w:r>
    </w:p>
    <w:p w:rsidR="00CA7969" w:rsidRPr="004B3D1F" w:rsidRDefault="00CA7969" w:rsidP="00CA7969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（一）符合</w:t>
      </w:r>
      <w:r w:rsidR="004B3D1F" w:rsidRPr="005A0B38">
        <w:rPr>
          <w:rFonts w:ascii="仿宋" w:eastAsia="仿宋" w:hAnsi="仿宋" w:cs="宋体" w:hint="eastAsia"/>
          <w:kern w:val="0"/>
          <w:sz w:val="28"/>
          <w:szCs w:val="28"/>
        </w:rPr>
        <w:t>学校高层次认定的</w:t>
      </w:r>
      <w:r w:rsidR="00362E83">
        <w:rPr>
          <w:rFonts w:ascii="仿宋" w:eastAsia="仿宋" w:hAnsi="仿宋" w:cs="宋体" w:hint="eastAsia"/>
          <w:kern w:val="0"/>
          <w:sz w:val="28"/>
          <w:szCs w:val="28"/>
        </w:rPr>
        <w:t>论文</w:t>
      </w:r>
      <w:r>
        <w:rPr>
          <w:rFonts w:ascii="仿宋" w:eastAsia="仿宋" w:hAnsi="仿宋" w:cs="宋体" w:hint="eastAsia"/>
          <w:kern w:val="0"/>
          <w:sz w:val="28"/>
          <w:szCs w:val="28"/>
        </w:rPr>
        <w:t>，中心</w:t>
      </w:r>
      <w:r w:rsidR="004B3D1F">
        <w:rPr>
          <w:rFonts w:ascii="仿宋" w:eastAsia="仿宋" w:hAnsi="仿宋" w:cs="宋体" w:hint="eastAsia"/>
          <w:kern w:val="0"/>
          <w:sz w:val="28"/>
          <w:szCs w:val="28"/>
        </w:rPr>
        <w:t>按1:0.2予以奖励。</w:t>
      </w:r>
    </w:p>
    <w:p w:rsidR="004B3D1F" w:rsidRPr="004B3D1F" w:rsidRDefault="00CA7969" w:rsidP="004B3D1F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4B3D1F">
        <w:rPr>
          <w:rFonts w:ascii="仿宋" w:eastAsia="仿宋" w:hAnsi="仿宋" w:cs="宋体" w:hint="eastAsia"/>
          <w:kern w:val="0"/>
          <w:sz w:val="28"/>
          <w:szCs w:val="28"/>
        </w:rPr>
        <w:t>除学校高层次认定的论文以外，在CSSCI核心期刊发表的</w:t>
      </w:r>
      <w:r w:rsidR="002127EA">
        <w:rPr>
          <w:rFonts w:ascii="仿宋" w:eastAsia="仿宋" w:hAnsi="仿宋" w:cs="宋体" w:hint="eastAsia"/>
          <w:kern w:val="0"/>
          <w:sz w:val="28"/>
          <w:szCs w:val="28"/>
        </w:rPr>
        <w:t>论文</w:t>
      </w:r>
      <w:r w:rsidR="004B3D1F">
        <w:rPr>
          <w:rFonts w:ascii="仿宋" w:eastAsia="仿宋" w:hAnsi="仿宋" w:cs="宋体" w:hint="eastAsia"/>
          <w:kern w:val="0"/>
          <w:sz w:val="28"/>
          <w:szCs w:val="28"/>
        </w:rPr>
        <w:t>，中心按1:0.1予以奖励。</w:t>
      </w:r>
    </w:p>
    <w:p w:rsidR="002127EA" w:rsidRDefault="002127EA" w:rsidP="002127EA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四</w:t>
      </w: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章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获奖</w:t>
      </w:r>
      <w:r w:rsidRPr="00F525CD">
        <w:rPr>
          <w:rFonts w:ascii="黑体" w:eastAsia="黑体" w:hAnsi="黑体" w:cs="宋体" w:hint="eastAsia"/>
          <w:b/>
          <w:kern w:val="0"/>
          <w:sz w:val="30"/>
          <w:szCs w:val="30"/>
        </w:rPr>
        <w:t>认定、奖励范围与标准</w:t>
      </w:r>
    </w:p>
    <w:p w:rsidR="00397C33" w:rsidRDefault="002127EA" w:rsidP="002127EA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第十条  获奖的认定。</w:t>
      </w:r>
      <w:r w:rsidR="009D4B61" w:rsidRPr="00B17A48">
        <w:rPr>
          <w:rFonts w:ascii="仿宋" w:eastAsia="仿宋" w:hAnsi="仿宋" w:cs="宋体" w:hint="eastAsia"/>
          <w:kern w:val="0"/>
          <w:sz w:val="28"/>
          <w:szCs w:val="28"/>
        </w:rPr>
        <w:t>以教育部省属高校人文社会科学重点研究基地——浙江工商大学现代商贸研究中心为第一</w:t>
      </w:r>
      <w:r w:rsidR="002C0672">
        <w:rPr>
          <w:rFonts w:ascii="仿宋" w:eastAsia="仿宋" w:hAnsi="仿宋" w:cs="宋体" w:hint="eastAsia"/>
          <w:kern w:val="0"/>
          <w:sz w:val="28"/>
          <w:szCs w:val="28"/>
        </w:rPr>
        <w:t>完成</w:t>
      </w:r>
      <w:r w:rsidR="009D4B61" w:rsidRPr="00B17A48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="009D4B61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554B77">
        <w:rPr>
          <w:rFonts w:ascii="仿宋" w:eastAsia="仿宋" w:hAnsi="仿宋" w:cs="宋体" w:hint="eastAsia"/>
          <w:kern w:val="0"/>
          <w:sz w:val="28"/>
          <w:szCs w:val="28"/>
        </w:rPr>
        <w:t>与商贸流通有关的</w:t>
      </w:r>
      <w:r w:rsidR="009D4B61">
        <w:rPr>
          <w:rFonts w:ascii="仿宋" w:eastAsia="仿宋" w:hAnsi="仿宋" w:cs="宋体" w:hint="eastAsia"/>
          <w:kern w:val="0"/>
          <w:sz w:val="28"/>
          <w:szCs w:val="28"/>
        </w:rPr>
        <w:t>获奖成果，包括</w:t>
      </w:r>
      <w:r w:rsidR="009D4B61" w:rsidRPr="00A70924">
        <w:rPr>
          <w:rFonts w:ascii="仿宋" w:eastAsia="仿宋" w:hAnsi="仿宋" w:cs="宋体" w:hint="eastAsia"/>
          <w:kern w:val="0"/>
          <w:sz w:val="28"/>
          <w:szCs w:val="28"/>
        </w:rPr>
        <w:t>地级市以上获奖成果、与商贸流通相关的重要学会（协会）奖励、党政系统科研成果奖</w:t>
      </w:r>
      <w:r w:rsidR="009D4B61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127EA" w:rsidRDefault="00397C33" w:rsidP="005A0B38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第十一条  奖励范围与标准。符合学校高层次认定的获奖成果，中心按1:0.2予以奖励。</w:t>
      </w:r>
    </w:p>
    <w:p w:rsidR="00BF39A1" w:rsidRDefault="00BF39A1" w:rsidP="00BF39A1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五</w:t>
      </w: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章  </w:t>
      </w:r>
      <w:r w:rsidR="00C0560C">
        <w:rPr>
          <w:rFonts w:ascii="黑体" w:eastAsia="黑体" w:hAnsi="黑体" w:cs="宋体" w:hint="eastAsia"/>
          <w:b/>
          <w:kern w:val="0"/>
          <w:sz w:val="30"/>
          <w:szCs w:val="30"/>
        </w:rPr>
        <w:t>知识产权</w:t>
      </w:r>
      <w:r w:rsidRPr="00F525CD">
        <w:rPr>
          <w:rFonts w:ascii="黑体" w:eastAsia="黑体" w:hAnsi="黑体" w:cs="宋体" w:hint="eastAsia"/>
          <w:b/>
          <w:kern w:val="0"/>
          <w:sz w:val="30"/>
          <w:szCs w:val="30"/>
        </w:rPr>
        <w:t>认定、奖励范围与标准</w:t>
      </w:r>
    </w:p>
    <w:p w:rsidR="00C0560C" w:rsidRDefault="00C0560C" w:rsidP="00C0560C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第十二条  知识产权的认定。</w:t>
      </w:r>
      <w:r w:rsidRPr="00B17A48">
        <w:rPr>
          <w:rFonts w:ascii="仿宋" w:eastAsia="仿宋" w:hAnsi="仿宋" w:cs="宋体" w:hint="eastAsia"/>
          <w:kern w:val="0"/>
          <w:sz w:val="28"/>
          <w:szCs w:val="28"/>
        </w:rPr>
        <w:t>以浙江工商大学现代商贸研究中心为第一</w:t>
      </w:r>
      <w:r w:rsidR="0041449E">
        <w:rPr>
          <w:rFonts w:ascii="仿宋" w:eastAsia="仿宋" w:hAnsi="仿宋" w:cs="宋体" w:hint="eastAsia"/>
          <w:kern w:val="0"/>
          <w:sz w:val="28"/>
          <w:szCs w:val="28"/>
        </w:rPr>
        <w:t>专利权人被授权</w:t>
      </w:r>
      <w:r>
        <w:rPr>
          <w:rFonts w:ascii="仿宋" w:eastAsia="仿宋" w:hAnsi="仿宋" w:cs="宋体" w:hint="eastAsia"/>
          <w:kern w:val="0"/>
          <w:sz w:val="28"/>
          <w:szCs w:val="28"/>
        </w:rPr>
        <w:t>的与商贸流通有关的</w:t>
      </w:r>
      <w:r w:rsidR="0041449E">
        <w:rPr>
          <w:rFonts w:ascii="仿宋" w:eastAsia="仿宋" w:hAnsi="仿宋" w:cs="宋体" w:hint="eastAsia"/>
          <w:kern w:val="0"/>
          <w:sz w:val="28"/>
          <w:szCs w:val="28"/>
        </w:rPr>
        <w:t>发明专利；以及以</w:t>
      </w:r>
      <w:r w:rsidR="00F7099B">
        <w:rPr>
          <w:rFonts w:ascii="仿宋" w:eastAsia="仿宋" w:hAnsi="仿宋" w:cs="宋体" w:hint="eastAsia"/>
          <w:kern w:val="0"/>
          <w:sz w:val="28"/>
          <w:szCs w:val="28"/>
        </w:rPr>
        <w:t>浙江工商大学现代商贸研究中心</w:t>
      </w:r>
      <w:r w:rsidR="0041449E">
        <w:rPr>
          <w:rFonts w:ascii="仿宋" w:eastAsia="仿宋" w:hAnsi="仿宋" w:cs="宋体" w:hint="eastAsia"/>
          <w:kern w:val="0"/>
          <w:sz w:val="28"/>
          <w:szCs w:val="28"/>
        </w:rPr>
        <w:t>为第一起草单位，正式发布的各类标准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54B77" w:rsidRDefault="00C0560C" w:rsidP="00C0560C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第十三条  奖励范围与标准。</w:t>
      </w:r>
      <w:r w:rsidR="00E14FA6">
        <w:rPr>
          <w:rFonts w:ascii="仿宋" w:eastAsia="仿宋" w:hAnsi="仿宋" w:cs="宋体" w:hint="eastAsia"/>
          <w:kern w:val="0"/>
          <w:sz w:val="28"/>
          <w:szCs w:val="28"/>
        </w:rPr>
        <w:t>符合</w:t>
      </w:r>
      <w:r w:rsidR="00670E6D">
        <w:rPr>
          <w:rFonts w:ascii="仿宋" w:eastAsia="仿宋" w:hAnsi="仿宋" w:cs="宋体" w:hint="eastAsia"/>
          <w:kern w:val="0"/>
          <w:sz w:val="28"/>
          <w:szCs w:val="28"/>
        </w:rPr>
        <w:t>学校高层次认定</w:t>
      </w:r>
      <w:r w:rsidR="00E14FA6">
        <w:rPr>
          <w:rFonts w:ascii="仿宋" w:eastAsia="仿宋" w:hAnsi="仿宋" w:cs="宋体" w:hint="eastAsia"/>
          <w:kern w:val="0"/>
          <w:sz w:val="28"/>
          <w:szCs w:val="28"/>
        </w:rPr>
        <w:t>的知识产权</w:t>
      </w:r>
      <w:r w:rsidR="00670E6D">
        <w:rPr>
          <w:rFonts w:ascii="仿宋" w:eastAsia="仿宋" w:hAnsi="仿宋" w:cs="宋体" w:hint="eastAsia"/>
          <w:kern w:val="0"/>
          <w:sz w:val="28"/>
          <w:szCs w:val="28"/>
        </w:rPr>
        <w:t>与标准</w:t>
      </w:r>
      <w:r w:rsidR="00E14FA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670E6D">
        <w:rPr>
          <w:rFonts w:ascii="仿宋" w:eastAsia="仿宋" w:hAnsi="仿宋" w:cs="宋体" w:hint="eastAsia"/>
          <w:kern w:val="0"/>
          <w:sz w:val="28"/>
          <w:szCs w:val="28"/>
        </w:rPr>
        <w:t>中心按1:0.2予以</w:t>
      </w:r>
      <w:r w:rsidR="00E14FA6">
        <w:rPr>
          <w:rFonts w:ascii="仿宋" w:eastAsia="仿宋" w:hAnsi="仿宋" w:cs="宋体" w:hint="eastAsia"/>
          <w:kern w:val="0"/>
          <w:sz w:val="28"/>
          <w:szCs w:val="28"/>
        </w:rPr>
        <w:t>奖励</w:t>
      </w:r>
      <w:r w:rsidR="00670E6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14FA6" w:rsidRDefault="00E14FA6" w:rsidP="00E14FA6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六</w:t>
      </w: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章  </w:t>
      </w:r>
      <w:r w:rsidR="0030409A">
        <w:rPr>
          <w:rFonts w:ascii="黑体" w:eastAsia="黑体" w:hAnsi="黑体" w:cs="宋体" w:hint="eastAsia"/>
          <w:b/>
          <w:kern w:val="0"/>
          <w:sz w:val="30"/>
          <w:szCs w:val="30"/>
        </w:rPr>
        <w:t>采纳批示</w:t>
      </w:r>
      <w:r w:rsidRPr="00F525CD">
        <w:rPr>
          <w:rFonts w:ascii="黑体" w:eastAsia="黑体" w:hAnsi="黑体" w:cs="宋体" w:hint="eastAsia"/>
          <w:b/>
          <w:kern w:val="0"/>
          <w:sz w:val="30"/>
          <w:szCs w:val="30"/>
        </w:rPr>
        <w:t>认定、奖励范围与标准</w:t>
      </w:r>
    </w:p>
    <w:p w:rsidR="0030409A" w:rsidRDefault="00E14FA6" w:rsidP="00E14FA6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第十四条  </w:t>
      </w:r>
      <w:r w:rsidR="0030409A">
        <w:rPr>
          <w:rFonts w:ascii="仿宋" w:eastAsia="仿宋" w:hAnsi="仿宋" w:cs="宋体" w:hint="eastAsia"/>
          <w:kern w:val="0"/>
          <w:sz w:val="28"/>
          <w:szCs w:val="28"/>
        </w:rPr>
        <w:t>采纳批示</w:t>
      </w:r>
      <w:r>
        <w:rPr>
          <w:rFonts w:ascii="仿宋" w:eastAsia="仿宋" w:hAnsi="仿宋" w:cs="宋体" w:hint="eastAsia"/>
          <w:kern w:val="0"/>
          <w:sz w:val="28"/>
          <w:szCs w:val="28"/>
        </w:rPr>
        <w:t>的认定。</w:t>
      </w:r>
      <w:r w:rsidR="008D1F8E" w:rsidRPr="00B17A48">
        <w:rPr>
          <w:rFonts w:ascii="仿宋" w:eastAsia="仿宋" w:hAnsi="仿宋" w:cs="宋体" w:hint="eastAsia"/>
          <w:kern w:val="0"/>
          <w:sz w:val="28"/>
          <w:szCs w:val="28"/>
        </w:rPr>
        <w:t>以浙江工商大学现代商贸研究中心为</w:t>
      </w:r>
      <w:r w:rsidR="008D1F8E">
        <w:rPr>
          <w:rFonts w:ascii="仿宋" w:eastAsia="仿宋" w:hAnsi="仿宋" w:cs="宋体" w:hint="eastAsia"/>
          <w:kern w:val="0"/>
          <w:sz w:val="28"/>
          <w:szCs w:val="28"/>
        </w:rPr>
        <w:t>第一承担单位</w:t>
      </w:r>
      <w:r w:rsidR="0030409A">
        <w:rPr>
          <w:rFonts w:ascii="仿宋" w:eastAsia="仿宋" w:hAnsi="仿宋" w:cs="宋体" w:hint="eastAsia"/>
          <w:kern w:val="0"/>
          <w:sz w:val="28"/>
          <w:szCs w:val="28"/>
        </w:rPr>
        <w:t>或第二承担单位完成的</w:t>
      </w:r>
      <w:r w:rsidR="00670E6D">
        <w:rPr>
          <w:rFonts w:ascii="仿宋" w:eastAsia="仿宋" w:hAnsi="仿宋" w:cs="宋体" w:hint="eastAsia"/>
          <w:kern w:val="0"/>
          <w:sz w:val="28"/>
          <w:szCs w:val="28"/>
        </w:rPr>
        <w:t>应用性研究成果</w:t>
      </w:r>
      <w:r w:rsidR="0030409A">
        <w:rPr>
          <w:rFonts w:ascii="仿宋" w:eastAsia="仿宋" w:hAnsi="仿宋" w:cs="宋体" w:hint="eastAsia"/>
          <w:kern w:val="0"/>
          <w:sz w:val="28"/>
          <w:szCs w:val="28"/>
        </w:rPr>
        <w:t>，获得厅局级及以上领导肯定性批示，或在省部级单位内参上正式发表，或被厅局级及以上单位采纳，或得到地市级以上政府部门正式发布。</w:t>
      </w:r>
    </w:p>
    <w:p w:rsidR="00670E6D" w:rsidRDefault="00E14FA6" w:rsidP="00E14FA6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第十五条  奖励范围与标准。</w:t>
      </w:r>
    </w:p>
    <w:p w:rsidR="00670E6D" w:rsidRDefault="00670E6D" w:rsidP="00E14FA6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（一）符合学校高层次认定的获奖成果，中心按1:0.2予以奖励。</w:t>
      </w:r>
    </w:p>
    <w:p w:rsidR="00E14FA6" w:rsidRDefault="00670E6D" w:rsidP="00E14FA6">
      <w:pPr>
        <w:shd w:val="clear" w:color="auto" w:fill="FFFFFF"/>
        <w:spacing w:line="460" w:lineRule="exact"/>
        <w:ind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30409A">
        <w:rPr>
          <w:rFonts w:ascii="仿宋" w:eastAsia="仿宋" w:hAnsi="仿宋" w:cs="宋体" w:hint="eastAsia"/>
          <w:kern w:val="0"/>
          <w:sz w:val="28"/>
          <w:szCs w:val="28"/>
        </w:rPr>
        <w:t>符合中心奖励认定的采纳批示，奖励标准如下：</w:t>
      </w:r>
    </w:p>
    <w:tbl>
      <w:tblPr>
        <w:tblStyle w:val="a8"/>
        <w:tblW w:w="8505" w:type="dxa"/>
        <w:tblInd w:w="108" w:type="dxa"/>
        <w:tblLook w:val="04A0"/>
      </w:tblPr>
      <w:tblGrid>
        <w:gridCol w:w="5812"/>
        <w:gridCol w:w="2693"/>
      </w:tblGrid>
      <w:tr w:rsidR="004C023B" w:rsidTr="00670E6D">
        <w:tc>
          <w:tcPr>
            <w:tcW w:w="5812" w:type="dxa"/>
            <w:vAlign w:val="center"/>
          </w:tcPr>
          <w:p w:rsidR="004C023B" w:rsidRDefault="004C023B" w:rsidP="004712E2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采纳批示</w:t>
            </w:r>
          </w:p>
        </w:tc>
        <w:tc>
          <w:tcPr>
            <w:tcW w:w="2693" w:type="dxa"/>
            <w:vAlign w:val="center"/>
          </w:tcPr>
          <w:p w:rsidR="004C023B" w:rsidRPr="002127EA" w:rsidRDefault="004C023B" w:rsidP="005A0B38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奖励标准</w:t>
            </w:r>
            <w:r w:rsidR="005A0B3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（元）</w:t>
            </w:r>
          </w:p>
        </w:tc>
      </w:tr>
      <w:tr w:rsidR="00670E6D" w:rsidTr="00670E6D">
        <w:tc>
          <w:tcPr>
            <w:tcW w:w="5812" w:type="dxa"/>
            <w:vAlign w:val="center"/>
          </w:tcPr>
          <w:p w:rsidR="00670E6D" w:rsidRPr="00670E6D" w:rsidRDefault="00670E6D" w:rsidP="009B047B">
            <w:pPr>
              <w:spacing w:line="380" w:lineRule="exact"/>
              <w:jc w:val="left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670E6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中心研究成果获得国家商务部、教育部下辖各司局单位正式采纳或批示，或在商务部、教育部内参上被正式发表的研究成果</w:t>
            </w:r>
          </w:p>
        </w:tc>
        <w:tc>
          <w:tcPr>
            <w:tcW w:w="2693" w:type="dxa"/>
            <w:vAlign w:val="center"/>
          </w:tcPr>
          <w:p w:rsidR="00670E6D" w:rsidRPr="00670E6D" w:rsidRDefault="005A0B38" w:rsidP="00670E6D">
            <w:pPr>
              <w:tabs>
                <w:tab w:val="left" w:pos="1800"/>
              </w:tabs>
              <w:spacing w:line="380" w:lineRule="exact"/>
              <w:ind w:right="26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2000</w:t>
            </w:r>
          </w:p>
        </w:tc>
      </w:tr>
      <w:tr w:rsidR="00670E6D" w:rsidTr="00670E6D">
        <w:tc>
          <w:tcPr>
            <w:tcW w:w="5812" w:type="dxa"/>
            <w:vAlign w:val="center"/>
          </w:tcPr>
          <w:p w:rsidR="00670E6D" w:rsidRPr="00670E6D" w:rsidRDefault="00670E6D" w:rsidP="009B047B">
            <w:pPr>
              <w:spacing w:line="380" w:lineRule="exact"/>
              <w:jc w:val="left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670E6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获副省级领导或部门肯定性的批示或采纳的科研成果</w:t>
            </w:r>
          </w:p>
        </w:tc>
        <w:tc>
          <w:tcPr>
            <w:tcW w:w="2693" w:type="dxa"/>
            <w:vAlign w:val="center"/>
          </w:tcPr>
          <w:p w:rsidR="00670E6D" w:rsidRPr="00670E6D" w:rsidRDefault="005A0B38" w:rsidP="00670E6D">
            <w:pPr>
              <w:tabs>
                <w:tab w:val="left" w:pos="1800"/>
              </w:tabs>
              <w:spacing w:line="380" w:lineRule="exact"/>
              <w:ind w:right="26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1500</w:t>
            </w:r>
          </w:p>
        </w:tc>
      </w:tr>
      <w:tr w:rsidR="00670E6D" w:rsidTr="00670E6D">
        <w:tc>
          <w:tcPr>
            <w:tcW w:w="5812" w:type="dxa"/>
            <w:vAlign w:val="center"/>
          </w:tcPr>
          <w:p w:rsidR="00670E6D" w:rsidRPr="00670E6D" w:rsidRDefault="00670E6D" w:rsidP="009B047B">
            <w:pPr>
              <w:tabs>
                <w:tab w:val="left" w:pos="1800"/>
              </w:tabs>
              <w:spacing w:line="380" w:lineRule="exact"/>
              <w:ind w:right="26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670E6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获厅局级领导肯定性的批示或采纳的科研成果，地级市以上党委、政府正式应用与采纳或得到地级市以上党委、政府领导肯定性批示的研究报告、咨询报告或政策建议</w:t>
            </w:r>
          </w:p>
        </w:tc>
        <w:tc>
          <w:tcPr>
            <w:tcW w:w="2693" w:type="dxa"/>
            <w:vAlign w:val="center"/>
          </w:tcPr>
          <w:p w:rsidR="00670E6D" w:rsidRPr="00670E6D" w:rsidRDefault="005A0B38" w:rsidP="00670E6D">
            <w:pPr>
              <w:tabs>
                <w:tab w:val="left" w:pos="1800"/>
              </w:tabs>
              <w:spacing w:line="380" w:lineRule="exact"/>
              <w:ind w:right="26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1000</w:t>
            </w:r>
          </w:p>
        </w:tc>
      </w:tr>
    </w:tbl>
    <w:p w:rsidR="00EE0D7D" w:rsidRPr="00A70924" w:rsidRDefault="00EE0D7D" w:rsidP="00F525CD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 w:rsidR="004C023B">
        <w:rPr>
          <w:rFonts w:ascii="黑体" w:eastAsia="黑体" w:hAnsi="黑体" w:cs="宋体" w:hint="eastAsia"/>
          <w:b/>
          <w:kern w:val="0"/>
          <w:sz w:val="30"/>
          <w:szCs w:val="30"/>
        </w:rPr>
        <w:t>七</w:t>
      </w:r>
      <w:r w:rsidRPr="00A70924">
        <w:rPr>
          <w:rFonts w:ascii="黑体" w:eastAsia="黑体" w:hAnsi="黑体" w:cs="宋体" w:hint="eastAsia"/>
          <w:b/>
          <w:kern w:val="0"/>
          <w:sz w:val="30"/>
          <w:szCs w:val="30"/>
        </w:rPr>
        <w:t>章  附  则</w:t>
      </w:r>
    </w:p>
    <w:p w:rsidR="00EE0D7D" w:rsidRPr="00A70924" w:rsidRDefault="00EE0D7D" w:rsidP="00EE0D7D">
      <w:pPr>
        <w:pStyle w:val="a5"/>
        <w:adjustRightInd w:val="0"/>
        <w:snapToGrid w:val="0"/>
        <w:spacing w:after="0" w:line="460" w:lineRule="exact"/>
        <w:ind w:leftChars="0" w:left="0"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十六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条  奖励成果统计一般在年底进行。</w:t>
      </w:r>
    </w:p>
    <w:p w:rsidR="00EE0D7D" w:rsidRPr="00A70924" w:rsidRDefault="00EE0D7D" w:rsidP="00EE0D7D">
      <w:pPr>
        <w:pStyle w:val="a5"/>
        <w:adjustRightInd w:val="0"/>
        <w:snapToGrid w:val="0"/>
        <w:spacing w:after="0" w:line="460" w:lineRule="exact"/>
        <w:ind w:leftChars="0" w:left="0"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十七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条  奖励经费总额尽可能保持增长趋势。</w:t>
      </w:r>
    </w:p>
    <w:p w:rsidR="00EE0D7D" w:rsidRPr="00A70924" w:rsidRDefault="00EE0D7D" w:rsidP="00EE0D7D">
      <w:pPr>
        <w:pStyle w:val="a5"/>
        <w:adjustRightInd w:val="0"/>
        <w:snapToGrid w:val="0"/>
        <w:spacing w:after="0" w:line="460" w:lineRule="exact"/>
        <w:ind w:leftChars="0" w:left="0"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十八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条  如有不在本办法规定的范围内，具有争议的科研成果，由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中心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组织专家组评定。</w:t>
      </w:r>
    </w:p>
    <w:p w:rsidR="00EE0D7D" w:rsidRDefault="00EE0D7D" w:rsidP="00EE0D7D">
      <w:pPr>
        <w:pStyle w:val="a5"/>
        <w:adjustRightInd w:val="0"/>
        <w:snapToGrid w:val="0"/>
        <w:spacing w:after="0" w:line="460" w:lineRule="exact"/>
        <w:ind w:leftChars="0" w:left="0" w:firstLineChars="221" w:firstLine="619"/>
        <w:rPr>
          <w:rFonts w:ascii="仿宋" w:eastAsia="仿宋" w:hAnsi="仿宋" w:cs="宋体"/>
          <w:kern w:val="0"/>
          <w:sz w:val="28"/>
          <w:szCs w:val="28"/>
        </w:rPr>
      </w:pP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十九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条  本办法由</w:t>
      </w:r>
      <w:r w:rsidR="004C023B">
        <w:rPr>
          <w:rFonts w:ascii="仿宋" w:eastAsia="仿宋" w:hAnsi="仿宋" w:cs="宋体" w:hint="eastAsia"/>
          <w:kern w:val="0"/>
          <w:sz w:val="28"/>
          <w:szCs w:val="28"/>
        </w:rPr>
        <w:t>中心</w:t>
      </w:r>
      <w:r w:rsidRPr="00A70924">
        <w:rPr>
          <w:rFonts w:ascii="仿宋" w:eastAsia="仿宋" w:hAnsi="仿宋" w:cs="宋体" w:hint="eastAsia"/>
          <w:kern w:val="0"/>
          <w:sz w:val="28"/>
          <w:szCs w:val="28"/>
        </w:rPr>
        <w:t>负责解释，自发布之日起实施。</w:t>
      </w:r>
    </w:p>
    <w:p w:rsidR="00EE0D7D" w:rsidRDefault="00EE0D7D" w:rsidP="00EE0D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EE0D7D" w:rsidRDefault="00EE0D7D" w:rsidP="00EE0D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EE0D7D" w:rsidRDefault="00EE0D7D" w:rsidP="00EE0D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EE0D7D" w:rsidRDefault="00EE0D7D" w:rsidP="00EE0D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376155" w:rsidRPr="00376155" w:rsidRDefault="00376155" w:rsidP="00376155">
      <w:pPr>
        <w:spacing w:line="560" w:lineRule="exact"/>
        <w:ind w:firstLineChars="100" w:firstLine="280"/>
        <w:rPr>
          <w:rFonts w:ascii="仿宋_GB2312" w:eastAsia="仿宋_GB2312" w:hAnsi="宋体" w:hint="eastAsia"/>
          <w:sz w:val="28"/>
          <w:szCs w:val="28"/>
        </w:rPr>
      </w:pPr>
      <w:r w:rsidRPr="00376155">
        <w:rPr>
          <w:rFonts w:ascii="仿宋_GB2312" w:eastAsia="仿宋_GB2312" w:hAnsi="宋体" w:hint="eastAsia"/>
          <w:sz w:val="28"/>
          <w:szCs w:val="28"/>
        </w:rPr>
        <w:pict>
          <v:line id="直线 12" o:spid="_x0000_s1033" style="position:absolute;left:0;text-align:left;z-index:251666432" from="0,32pt" to="450pt,32pt"/>
        </w:pict>
      </w:r>
      <w:r w:rsidRPr="00376155">
        <w:rPr>
          <w:rFonts w:ascii="仿宋_GB2312" w:eastAsia="仿宋_GB2312" w:hAnsi="宋体" w:hint="eastAsia"/>
          <w:sz w:val="28"/>
          <w:szCs w:val="28"/>
        </w:rPr>
        <w:pict>
          <v:line id="直线 11" o:spid="_x0000_s1032" style="position:absolute;left:0;text-align:left;z-index:251665408" from="0,4.8pt" to="450pt,4.8pt"/>
        </w:pict>
      </w:r>
      <w:r w:rsidRPr="00376155">
        <w:rPr>
          <w:rFonts w:ascii="仿宋_GB2312" w:eastAsia="仿宋_GB2312" w:hAnsi="宋体" w:hint="eastAsia"/>
          <w:sz w:val="28"/>
          <w:szCs w:val="28"/>
        </w:rPr>
        <w:t>浙江工商大学现代商贸研究中心办公室    2017年6月1</w:t>
      </w:r>
      <w:r>
        <w:rPr>
          <w:rFonts w:ascii="仿宋_GB2312" w:eastAsia="仿宋_GB2312" w:hAnsi="宋体" w:hint="eastAsia"/>
          <w:sz w:val="28"/>
          <w:szCs w:val="28"/>
        </w:rPr>
        <w:t>8</w:t>
      </w:r>
      <w:r w:rsidRPr="00376155">
        <w:rPr>
          <w:rFonts w:ascii="仿宋_GB2312" w:eastAsia="仿宋_GB2312" w:hAnsi="宋体" w:hint="eastAsia"/>
          <w:sz w:val="28"/>
          <w:szCs w:val="28"/>
        </w:rPr>
        <w:t>日印发</w:t>
      </w:r>
    </w:p>
    <w:p w:rsidR="00376155" w:rsidRPr="00376155" w:rsidRDefault="00376155" w:rsidP="00376155">
      <w:pPr>
        <w:tabs>
          <w:tab w:val="left" w:pos="1408"/>
        </w:tabs>
        <w:spacing w:line="360" w:lineRule="auto"/>
        <w:rPr>
          <w:rFonts w:ascii="仿宋_GB2312" w:eastAsia="仿宋_GB2312" w:hAnsi="仿宋" w:hint="eastAsia"/>
          <w:color w:val="FF0000"/>
          <w:sz w:val="28"/>
        </w:rPr>
      </w:pPr>
    </w:p>
    <w:p w:rsidR="00847162" w:rsidRPr="00376155" w:rsidRDefault="00847162" w:rsidP="00EE0D7D">
      <w:pPr>
        <w:spacing w:line="580" w:lineRule="exact"/>
        <w:ind w:rightChars="-162" w:right="-340"/>
      </w:pPr>
    </w:p>
    <w:sectPr w:rsidR="00847162" w:rsidRPr="00376155" w:rsidSect="0002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46" w:rsidRDefault="00E33E46" w:rsidP="00EE0D7D">
      <w:r>
        <w:separator/>
      </w:r>
    </w:p>
  </w:endnote>
  <w:endnote w:type="continuationSeparator" w:id="1">
    <w:p w:rsidR="00E33E46" w:rsidRDefault="00E33E46" w:rsidP="00EE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46" w:rsidRDefault="00E33E46" w:rsidP="00EE0D7D">
      <w:r>
        <w:separator/>
      </w:r>
    </w:p>
  </w:footnote>
  <w:footnote w:type="continuationSeparator" w:id="1">
    <w:p w:rsidR="00E33E46" w:rsidRDefault="00E33E46" w:rsidP="00EE0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3B3"/>
    <w:rsid w:val="00021038"/>
    <w:rsid w:val="00061FFE"/>
    <w:rsid w:val="0008672A"/>
    <w:rsid w:val="00096D58"/>
    <w:rsid w:val="000C2C92"/>
    <w:rsid w:val="000D69F9"/>
    <w:rsid w:val="00127D47"/>
    <w:rsid w:val="00136C0D"/>
    <w:rsid w:val="00147517"/>
    <w:rsid w:val="00153DBE"/>
    <w:rsid w:val="00164378"/>
    <w:rsid w:val="001653B3"/>
    <w:rsid w:val="001A604E"/>
    <w:rsid w:val="001B1325"/>
    <w:rsid w:val="001B573E"/>
    <w:rsid w:val="001E39F7"/>
    <w:rsid w:val="001E5339"/>
    <w:rsid w:val="002127EA"/>
    <w:rsid w:val="0028697A"/>
    <w:rsid w:val="002C0672"/>
    <w:rsid w:val="0030409A"/>
    <w:rsid w:val="00362E83"/>
    <w:rsid w:val="003748C9"/>
    <w:rsid w:val="00376155"/>
    <w:rsid w:val="003846D2"/>
    <w:rsid w:val="00397C33"/>
    <w:rsid w:val="003B1143"/>
    <w:rsid w:val="0041449E"/>
    <w:rsid w:val="00415564"/>
    <w:rsid w:val="00446D98"/>
    <w:rsid w:val="00474DA2"/>
    <w:rsid w:val="0049245A"/>
    <w:rsid w:val="004B3D1F"/>
    <w:rsid w:val="004C023B"/>
    <w:rsid w:val="00534A4A"/>
    <w:rsid w:val="00546916"/>
    <w:rsid w:val="00554B77"/>
    <w:rsid w:val="005A0B38"/>
    <w:rsid w:val="005D4442"/>
    <w:rsid w:val="006172B5"/>
    <w:rsid w:val="00617EDF"/>
    <w:rsid w:val="00621A68"/>
    <w:rsid w:val="00626ECE"/>
    <w:rsid w:val="00670E6D"/>
    <w:rsid w:val="006F46A3"/>
    <w:rsid w:val="006F4D5F"/>
    <w:rsid w:val="0071520B"/>
    <w:rsid w:val="00773AE9"/>
    <w:rsid w:val="007B688C"/>
    <w:rsid w:val="008223AE"/>
    <w:rsid w:val="00847162"/>
    <w:rsid w:val="008D1F8E"/>
    <w:rsid w:val="00914CB1"/>
    <w:rsid w:val="00972EB5"/>
    <w:rsid w:val="0097438B"/>
    <w:rsid w:val="00985B28"/>
    <w:rsid w:val="009D4B61"/>
    <w:rsid w:val="00A71FC6"/>
    <w:rsid w:val="00AE606B"/>
    <w:rsid w:val="00B009D7"/>
    <w:rsid w:val="00B06B7D"/>
    <w:rsid w:val="00B17A48"/>
    <w:rsid w:val="00B547D8"/>
    <w:rsid w:val="00B70C50"/>
    <w:rsid w:val="00BC7BEC"/>
    <w:rsid w:val="00BF39A1"/>
    <w:rsid w:val="00C0560C"/>
    <w:rsid w:val="00C1609E"/>
    <w:rsid w:val="00CA7969"/>
    <w:rsid w:val="00CE4327"/>
    <w:rsid w:val="00DB4408"/>
    <w:rsid w:val="00DD26F7"/>
    <w:rsid w:val="00E1084A"/>
    <w:rsid w:val="00E1275D"/>
    <w:rsid w:val="00E14FA6"/>
    <w:rsid w:val="00E33E46"/>
    <w:rsid w:val="00E61686"/>
    <w:rsid w:val="00E95F6E"/>
    <w:rsid w:val="00EA5D14"/>
    <w:rsid w:val="00EB1450"/>
    <w:rsid w:val="00EE0D7D"/>
    <w:rsid w:val="00F14679"/>
    <w:rsid w:val="00F22428"/>
    <w:rsid w:val="00F525CD"/>
    <w:rsid w:val="00F7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E0D7D"/>
    <w:pPr>
      <w:keepNext/>
      <w:keepLines/>
      <w:spacing w:before="460" w:after="45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0D7D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5">
    <w:name w:val="Body Text Indent"/>
    <w:basedOn w:val="a"/>
    <w:link w:val="Char1"/>
    <w:unhideWhenUsed/>
    <w:rsid w:val="00EE0D7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EE0D7D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A7969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62E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62E83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212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E0D7D"/>
    <w:pPr>
      <w:keepNext/>
      <w:keepLines/>
      <w:spacing w:before="460" w:after="450" w:line="576" w:lineRule="auto"/>
      <w:jc w:val="center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0D7D"/>
    <w:rPr>
      <w:rFonts w:ascii="Times New Roman" w:eastAsia="宋体" w:hAnsi="Times New Roman" w:cs="Times New Roman"/>
      <w:b/>
      <w:kern w:val="44"/>
      <w:sz w:val="44"/>
      <w:szCs w:val="24"/>
      <w:lang w:val="x-none" w:eastAsia="x-none"/>
    </w:rPr>
  </w:style>
  <w:style w:type="paragraph" w:styleId="a5">
    <w:name w:val="Body Text Indent"/>
    <w:basedOn w:val="a"/>
    <w:link w:val="Char1"/>
    <w:semiHidden/>
    <w:unhideWhenUsed/>
    <w:rsid w:val="00EE0D7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rsid w:val="00EE0D7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think</cp:lastModifiedBy>
  <cp:revision>33</cp:revision>
  <cp:lastPrinted>2017-04-10T05:48:00Z</cp:lastPrinted>
  <dcterms:created xsi:type="dcterms:W3CDTF">2017-01-19T12:08:00Z</dcterms:created>
  <dcterms:modified xsi:type="dcterms:W3CDTF">2017-06-22T02:18:00Z</dcterms:modified>
</cp:coreProperties>
</file>